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0E21E8" w:rsidRPr="00485093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21E8" w:rsidRPr="00F66E64" w:rsidRDefault="005F6C26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5F6C26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0E21E8" w:rsidRPr="00F66E64" w:rsidRDefault="000E21E8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21E8" w:rsidRPr="009D3561" w:rsidRDefault="000E21E8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0E21E8" w:rsidRPr="009D3561" w:rsidRDefault="000E21E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0E21E8" w:rsidRPr="009D3561" w:rsidRDefault="000E21E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0E21E8" w:rsidRPr="009D3561" w:rsidRDefault="000E21E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0E21E8" w:rsidRPr="009D3561" w:rsidRDefault="000E21E8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0E21E8" w:rsidRPr="00A52568" w:rsidRDefault="000E21E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Pr="00A52568" w:rsidRDefault="000E21E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Pr="009D3561" w:rsidRDefault="000E21E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85093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485093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 w:rsidR="00485093">
        <w:rPr>
          <w:rFonts w:ascii="Times New Roman" w:hAnsi="Times New Roman"/>
          <w:i w:val="0"/>
          <w:sz w:val="24"/>
          <w:szCs w:val="24"/>
          <w:lang w:val="ru-RU"/>
        </w:rPr>
        <w:t xml:space="preserve">  53</w:t>
      </w:r>
    </w:p>
    <w:p w:rsidR="000E21E8" w:rsidRPr="009D3561" w:rsidRDefault="000E21E8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A52568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sz w:val="24"/>
          <w:lang w:val="ru-RU"/>
        </w:rPr>
      </w:pPr>
      <w:r w:rsidRPr="00877495">
        <w:rPr>
          <w:rFonts w:ascii="Times New Roman" w:hAnsi="Times New Roman"/>
          <w:bCs/>
          <w:sz w:val="24"/>
          <w:lang w:val="ru-RU"/>
        </w:rPr>
        <w:t xml:space="preserve">Об утверждении  </w:t>
      </w:r>
      <w:r w:rsidRPr="00877495">
        <w:rPr>
          <w:rFonts w:ascii="Times New Roman" w:hAnsi="Times New Roman"/>
          <w:sz w:val="24"/>
          <w:lang w:val="ru-RU"/>
        </w:rPr>
        <w:t>Правил принятия решений</w:t>
      </w:r>
    </w:p>
    <w:p w:rsidR="000E21E8" w:rsidRDefault="000E21E8" w:rsidP="0052251C">
      <w:pPr>
        <w:pStyle w:val="a3"/>
        <w:rPr>
          <w:rFonts w:ascii="Times New Roman" w:hAnsi="Times New Roman"/>
          <w:sz w:val="24"/>
          <w:lang w:val="ru-RU"/>
        </w:rPr>
      </w:pPr>
      <w:r w:rsidRPr="00877495">
        <w:rPr>
          <w:rFonts w:ascii="Times New Roman" w:hAnsi="Times New Roman"/>
          <w:sz w:val="24"/>
          <w:lang w:val="ru-RU"/>
        </w:rPr>
        <w:t xml:space="preserve">о заключении муниципальных контрактов </w:t>
      </w:r>
    </w:p>
    <w:p w:rsidR="000E21E8" w:rsidRDefault="000E21E8" w:rsidP="0052251C">
      <w:pPr>
        <w:pStyle w:val="a3"/>
        <w:rPr>
          <w:rFonts w:ascii="Times New Roman" w:hAnsi="Times New Roman"/>
          <w:sz w:val="24"/>
          <w:lang w:val="ru-RU"/>
        </w:rPr>
      </w:pPr>
      <w:r w:rsidRPr="00877495">
        <w:rPr>
          <w:rFonts w:ascii="Times New Roman" w:hAnsi="Times New Roman"/>
          <w:sz w:val="24"/>
          <w:lang w:val="ru-RU"/>
        </w:rPr>
        <w:t xml:space="preserve">на выполнение работ, оказание услуг для обеспечения </w:t>
      </w:r>
    </w:p>
    <w:p w:rsidR="000E21E8" w:rsidRDefault="000E21E8" w:rsidP="0052251C">
      <w:pPr>
        <w:pStyle w:val="a3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муниципальных нужд муници</w:t>
      </w:r>
      <w:r w:rsidRPr="00877495">
        <w:rPr>
          <w:rFonts w:ascii="Times New Roman" w:hAnsi="Times New Roman"/>
          <w:sz w:val="24"/>
          <w:lang w:val="ru-RU"/>
        </w:rPr>
        <w:t xml:space="preserve">пального образования </w:t>
      </w:r>
      <w:proofErr w:type="gramStart"/>
      <w:r>
        <w:rPr>
          <w:rFonts w:ascii="Times New Roman" w:hAnsi="Times New Roman"/>
          <w:sz w:val="24"/>
          <w:lang w:val="ru-RU"/>
        </w:rPr>
        <w:t>Павловское</w:t>
      </w:r>
      <w:proofErr w:type="gramEnd"/>
    </w:p>
    <w:p w:rsidR="000E21E8" w:rsidRDefault="000E21E8" w:rsidP="0052251C">
      <w:pPr>
        <w:pStyle w:val="a3"/>
        <w:rPr>
          <w:rFonts w:ascii="Times New Roman" w:hAnsi="Times New Roman"/>
          <w:sz w:val="24"/>
          <w:lang w:val="ru-RU"/>
        </w:rPr>
      </w:pPr>
      <w:r w:rsidRPr="00877495">
        <w:rPr>
          <w:rFonts w:ascii="Times New Roman" w:hAnsi="Times New Roman"/>
          <w:sz w:val="24"/>
          <w:lang w:val="ru-RU"/>
        </w:rPr>
        <w:t xml:space="preserve">на срок, превышающий срок действия </w:t>
      </w:r>
    </w:p>
    <w:p w:rsidR="000E21E8" w:rsidRPr="00877495" w:rsidRDefault="000E21E8" w:rsidP="0052251C">
      <w:pPr>
        <w:pStyle w:val="a3"/>
        <w:rPr>
          <w:rFonts w:ascii="Times New Roman" w:hAnsi="Times New Roman"/>
          <w:sz w:val="32"/>
          <w:szCs w:val="24"/>
          <w:lang w:val="ru-RU"/>
        </w:rPr>
      </w:pPr>
      <w:r w:rsidRPr="00877495">
        <w:rPr>
          <w:rFonts w:ascii="Times New Roman" w:hAnsi="Times New Roman"/>
          <w:sz w:val="24"/>
          <w:lang w:val="ru-RU"/>
        </w:rPr>
        <w:t>утвержденных лимитов бюджетных обязательств</w:t>
      </w:r>
    </w:p>
    <w:p w:rsidR="000E21E8" w:rsidRDefault="000E21E8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Pr="007436BB" w:rsidRDefault="000E21E8" w:rsidP="007436BB">
      <w:pPr>
        <w:spacing w:after="0" w:line="20" w:lineRule="atLeas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</w:t>
      </w:r>
      <w:r w:rsidRPr="00444575">
        <w:rPr>
          <w:rFonts w:ascii="Times New Roman" w:hAnsi="Times New Roman"/>
          <w:i w:val="0"/>
          <w:sz w:val="24"/>
          <w:szCs w:val="24"/>
          <w:lang w:val="ru-RU"/>
        </w:rPr>
        <w:t>статьей 72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 и в соответствии с Положением о бюджетном процессе 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7436B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0E21E8" w:rsidRPr="007436BB" w:rsidRDefault="000E21E8" w:rsidP="007436BB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1. Утвердить Правила 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 нужд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на срок, превышающий срок действия утвержденных лимитов бюджетных обязательств.</w:t>
      </w:r>
    </w:p>
    <w:p w:rsidR="000E21E8" w:rsidRPr="007436BB" w:rsidRDefault="000E21E8" w:rsidP="007436BB">
      <w:pPr>
        <w:pStyle w:val="a7"/>
        <w:spacing w:before="0" w:beforeAutospacing="0" w:after="0" w:afterAutospacing="0" w:line="20" w:lineRule="atLeast"/>
        <w:ind w:firstLine="600"/>
        <w:jc w:val="both"/>
      </w:pPr>
      <w:r w:rsidRPr="007436BB">
        <w:t>2.</w:t>
      </w:r>
      <w:r>
        <w:t xml:space="preserve"> </w:t>
      </w:r>
      <w:r w:rsidRPr="007436BB">
        <w:t xml:space="preserve">Настоящее </w:t>
      </w:r>
      <w:r>
        <w:t>постановление</w:t>
      </w:r>
      <w:r w:rsidRPr="007436BB">
        <w:t xml:space="preserve">  разместить на  официальном сайте администрации муниципального образования </w:t>
      </w:r>
      <w:r>
        <w:t>Павловское</w:t>
      </w:r>
      <w:r w:rsidRPr="007436BB">
        <w:t>.</w:t>
      </w:r>
    </w:p>
    <w:p w:rsidR="000E21E8" w:rsidRPr="007436BB" w:rsidRDefault="000E21E8" w:rsidP="007436BB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7436BB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E21E8" w:rsidRPr="007436BB" w:rsidRDefault="000E21E8" w:rsidP="007436BB">
      <w:pPr>
        <w:pStyle w:val="a7"/>
        <w:spacing w:before="0" w:beforeAutospacing="0" w:after="0" w:afterAutospacing="0" w:line="20" w:lineRule="atLeast"/>
        <w:ind w:firstLine="500"/>
        <w:jc w:val="both"/>
      </w:pPr>
      <w:r w:rsidRPr="007436BB">
        <w:t xml:space="preserve"> 4. Настоящее  постановление  вступает в силу с момента подписания.</w:t>
      </w:r>
    </w:p>
    <w:p w:rsidR="000E21E8" w:rsidRPr="000C73E4" w:rsidRDefault="000E21E8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Pr="000C73E4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21E8" w:rsidRDefault="000E21E8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0E21E8" w:rsidRDefault="000E21E8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0E21E8" w:rsidRDefault="000E21E8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0E21E8" w:rsidRDefault="000E21E8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85093">
        <w:rPr>
          <w:color w:val="000000"/>
        </w:rPr>
        <w:t>11.03.2021</w:t>
      </w:r>
      <w:r>
        <w:rPr>
          <w:color w:val="000000"/>
        </w:rPr>
        <w:t xml:space="preserve"> № </w:t>
      </w:r>
      <w:r w:rsidR="00485093">
        <w:rPr>
          <w:color w:val="000000"/>
        </w:rPr>
        <w:t>53</w:t>
      </w:r>
    </w:p>
    <w:p w:rsidR="000E21E8" w:rsidRDefault="000E21E8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9278C">
        <w:rPr>
          <w:b/>
          <w:color w:val="000000"/>
        </w:rPr>
        <w:t>Правила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9278C">
        <w:rPr>
          <w:color w:val="000000"/>
        </w:rPr>
        <w:t xml:space="preserve"> </w:t>
      </w:r>
      <w:r w:rsidRPr="0019278C">
        <w:rPr>
          <w:b/>
          <w:color w:val="000000"/>
        </w:rPr>
        <w:t xml:space="preserve">принятия решений о заключении муниципальных контрактов на выполнение работ, оказание услуг для обеспечения муниципальных нужд </w:t>
      </w:r>
    </w:p>
    <w:p w:rsidR="000E21E8" w:rsidRDefault="000E21E8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9278C">
        <w:rPr>
          <w:b/>
          <w:color w:val="000000"/>
        </w:rPr>
        <w:t xml:space="preserve">муниципального образования </w:t>
      </w:r>
      <w:proofErr w:type="gramStart"/>
      <w:r>
        <w:rPr>
          <w:b/>
          <w:color w:val="000000"/>
        </w:rPr>
        <w:t>Павловское</w:t>
      </w:r>
      <w:proofErr w:type="gramEnd"/>
      <w:r w:rsidRPr="0019278C">
        <w:rPr>
          <w:b/>
          <w:color w:val="000000"/>
        </w:rPr>
        <w:t xml:space="preserve">  на срок, превышающий срок действия утвержденных лимитов бюджетных обязательств</w:t>
      </w:r>
      <w:r>
        <w:rPr>
          <w:b/>
          <w:color w:val="000000"/>
        </w:rPr>
        <w:t>.</w:t>
      </w:r>
    </w:p>
    <w:p w:rsidR="000E21E8" w:rsidRDefault="000E21E8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E21E8" w:rsidRPr="00E0032E" w:rsidRDefault="000E21E8" w:rsidP="00E0032E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19278C">
        <w:rPr>
          <w:color w:val="000000"/>
        </w:rPr>
        <w:t xml:space="preserve"> </w:t>
      </w:r>
      <w:proofErr w:type="gramStart"/>
      <w:r w:rsidRPr="0019278C">
        <w:rPr>
          <w:color w:val="000000"/>
        </w:rPr>
        <w:t xml:space="preserve">Настоящие Правила определяют правила принятия решений о заключении муниципальных контрактов на выполнение работ, оказание услуг для обеспечения муниципальных нужд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2. </w:t>
      </w:r>
      <w:proofErr w:type="gramStart"/>
      <w:r w:rsidRPr="0019278C">
        <w:rPr>
          <w:color w:val="000000"/>
        </w:rPr>
        <w:t xml:space="preserve">Муниципальные заказчики вправе заключать муниципальные контракты на выполнение работ, оказание услуг для обеспечения муниципальных нужд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 (далее — долгосрочные муниципальные контракты),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статьей 79 Бюджетного</w:t>
      </w:r>
      <w:proofErr w:type="gramEnd"/>
      <w:r w:rsidRPr="0019278C">
        <w:rPr>
          <w:color w:val="000000"/>
        </w:rPr>
        <w:t xml:space="preserve"> кодекса Российской Федерации, на срок реализации указанных решений в форме распоряжений администрации 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  <w:r w:rsidRPr="0019278C">
        <w:rPr>
          <w:color w:val="000000"/>
        </w:rPr>
        <w:t>.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3. Иные долгосрочные муниципальные контракты могут заключаться на срок и в пределах средств, которые предусмотрены распоряжением администрации 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  <w:r w:rsidRPr="0019278C">
        <w:rPr>
          <w:color w:val="000000"/>
        </w:rPr>
        <w:t xml:space="preserve"> о заключении соответствующих муниципальных контрактов. 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4. Распоряжением администрации 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  <w:r w:rsidRPr="0019278C">
        <w:rPr>
          <w:color w:val="000000"/>
        </w:rPr>
        <w:t xml:space="preserve"> о заключении указанных в пунктах 2 и 3 настоящего Порядка долгосрочных муниципальных контрактов утверждаются: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>1) планируемые результаты выполнения работ (оказания услуг);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>2) описание состава работ (услуг);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>3) предельный срок выполнения работ (оказания услуг) с учетом сроков, необходимых для определения подрядчиков, исполнителей;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>4) предельный объем средств на выполнение долгосрочного муниципального контракта с разбивкой по годам.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В случае необходимости в распоряжение администрации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 xml:space="preserve"> включается пункт о приведении в соответствие с утвержденными муниципальными программами показателей, сроков, объемов средств, наименований работ (услуг).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>5. При заключении долгосрочного муниципального контракта за счет средств бюджетов бюджетной системы Российской Федерации в распоряжении о заключении долгосрочного муниципального контракта должен быть указан объем средств, с разбивкой по бюджетам бюджетной системы Российской Федерации.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lastRenderedPageBreak/>
        <w:t xml:space="preserve">6. Распоряжение администрации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 xml:space="preserve"> о заключении долгосрочного муниципального контракта принимается в следующем порядке: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278C">
        <w:rPr>
          <w:color w:val="000000"/>
        </w:rPr>
        <w:t xml:space="preserve">1) проект распоряжения администрации муниципального образования </w:t>
      </w:r>
      <w:r>
        <w:rPr>
          <w:color w:val="000000"/>
        </w:rPr>
        <w:t xml:space="preserve">Павловское </w:t>
      </w:r>
      <w:r w:rsidRPr="0019278C">
        <w:rPr>
          <w:color w:val="000000"/>
        </w:rPr>
        <w:t xml:space="preserve">(далее — проект распоряжения) и пояснительная записка к нему направляются главному распорядителю и получателям средств бюджета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>, являющимся муниципальным заказчиком по муниципальному контракту, на согласование;</w:t>
      </w:r>
      <w:proofErr w:type="gramEnd"/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2) </w:t>
      </w:r>
      <w:r>
        <w:rPr>
          <w:color w:val="000000"/>
        </w:rPr>
        <w:t xml:space="preserve">Плановому финансово-экономическому отделу администрации 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  <w:r>
        <w:rPr>
          <w:color w:val="000000"/>
        </w:rPr>
        <w:t xml:space="preserve"> </w:t>
      </w:r>
      <w:r w:rsidRPr="0019278C">
        <w:rPr>
          <w:color w:val="000000"/>
        </w:rPr>
        <w:t>в срок, не превышающий 10 рабочих дней, согласовывает представленный проект распоряжения при соблюдении следующих условий: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— </w:t>
      </w:r>
      <w:proofErr w:type="spellStart"/>
      <w:r w:rsidRPr="0019278C">
        <w:rPr>
          <w:color w:val="000000"/>
        </w:rPr>
        <w:t>непревышение</w:t>
      </w:r>
      <w:proofErr w:type="spellEnd"/>
      <w:r w:rsidRPr="0019278C">
        <w:rPr>
          <w:color w:val="000000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в сводной бюджетной росписи;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— </w:t>
      </w:r>
      <w:proofErr w:type="spellStart"/>
      <w:r w:rsidRPr="0019278C">
        <w:rPr>
          <w:color w:val="000000"/>
        </w:rPr>
        <w:t>непревышение</w:t>
      </w:r>
      <w:proofErr w:type="spellEnd"/>
      <w:r w:rsidRPr="0019278C">
        <w:rPr>
          <w:color w:val="000000"/>
        </w:rPr>
        <w:t xml:space="preserve"> годового предельного объема средств, предусматриваемых на оплату долгосрочного муниципального контракта за пределами текущего финансового года или планового периода, над максимальным годовым объемом бюджетных ассигнований, предусмотренных на оплату контракта в пределах планового периода (в текущем финансовом году);</w:t>
      </w:r>
    </w:p>
    <w:p w:rsidR="000E21E8" w:rsidRPr="0019278C" w:rsidRDefault="000E21E8" w:rsidP="00E0032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9278C">
        <w:rPr>
          <w:color w:val="000000"/>
        </w:rPr>
        <w:t xml:space="preserve">3) последующее согласование проекта распоряжения администрации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 xml:space="preserve"> до его предоставления на подпись осуществляется главным распорядителем средств бюджета муниципального образования </w:t>
      </w:r>
      <w:r>
        <w:rPr>
          <w:color w:val="000000"/>
        </w:rPr>
        <w:t>Павловское</w:t>
      </w:r>
      <w:r w:rsidRPr="0019278C">
        <w:rPr>
          <w:color w:val="000000"/>
        </w:rPr>
        <w:t xml:space="preserve"> в установленном порядке.</w:t>
      </w:r>
    </w:p>
    <w:p w:rsidR="000E21E8" w:rsidRPr="00E0032E" w:rsidRDefault="000E21E8" w:rsidP="00E0032E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0E21E8" w:rsidRPr="00E0032E" w:rsidRDefault="000E21E8" w:rsidP="00E0032E">
      <w:pPr>
        <w:ind w:left="5040"/>
        <w:rPr>
          <w:lang w:val="ru-RU"/>
        </w:rPr>
      </w:pPr>
    </w:p>
    <w:p w:rsidR="000E21E8" w:rsidRDefault="000E21E8" w:rsidP="00E0032E">
      <w:pPr>
        <w:pStyle w:val="a7"/>
        <w:spacing w:before="0" w:beforeAutospacing="0" w:after="0" w:afterAutospacing="0"/>
        <w:jc w:val="center"/>
        <w:rPr>
          <w:color w:val="000000"/>
        </w:rPr>
      </w:pPr>
    </w:p>
    <w:sectPr w:rsidR="000E21E8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E8" w:rsidRDefault="000E21E8" w:rsidP="00052022">
      <w:pPr>
        <w:spacing w:after="0" w:line="240" w:lineRule="auto"/>
      </w:pPr>
      <w:r>
        <w:separator/>
      </w:r>
    </w:p>
  </w:endnote>
  <w:endnote w:type="continuationSeparator" w:id="0">
    <w:p w:rsidR="000E21E8" w:rsidRDefault="000E21E8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E8" w:rsidRDefault="000E21E8" w:rsidP="00052022">
      <w:pPr>
        <w:spacing w:after="0" w:line="240" w:lineRule="auto"/>
      </w:pPr>
      <w:r>
        <w:separator/>
      </w:r>
    </w:p>
  </w:footnote>
  <w:footnote w:type="continuationSeparator" w:id="0">
    <w:p w:rsidR="000E21E8" w:rsidRDefault="000E21E8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7482"/>
    <w:rsid w:val="000D7F0B"/>
    <w:rsid w:val="000E1547"/>
    <w:rsid w:val="000E21E8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5733E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78C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4575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85093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3BA3"/>
    <w:rsid w:val="00526307"/>
    <w:rsid w:val="00527D5D"/>
    <w:rsid w:val="00531069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763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66B1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5F6C26"/>
    <w:rsid w:val="006019DE"/>
    <w:rsid w:val="00601A47"/>
    <w:rsid w:val="00601A9A"/>
    <w:rsid w:val="00607375"/>
    <w:rsid w:val="00607ABF"/>
    <w:rsid w:val="00610614"/>
    <w:rsid w:val="00614138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2D56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474E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626</Words>
  <Characters>5187</Characters>
  <Application>Microsoft Office Word</Application>
  <DocSecurity>0</DocSecurity>
  <Lines>43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2021-03-18T07:16:00Z</cp:lastPrinted>
  <dcterms:created xsi:type="dcterms:W3CDTF">2020-12-14T08:26:00Z</dcterms:created>
  <dcterms:modified xsi:type="dcterms:W3CDTF">2021-03-18T08:47:00Z</dcterms:modified>
</cp:coreProperties>
</file>